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42332153"/>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363846" w:rsidRDefault="00363846" w:rsidP="00363846">
          <w:pPr>
            <w:pStyle w:val="TtulodeTDC"/>
            <w:jc w:val="center"/>
            <w:rPr>
              <w:rFonts w:ascii="Arial" w:hAnsi="Arial" w:cs="Arial"/>
              <w:sz w:val="36"/>
              <w:szCs w:val="36"/>
              <w:lang w:val="es-ES"/>
            </w:rPr>
          </w:pPr>
          <w:r w:rsidRPr="00363846">
            <w:rPr>
              <w:rFonts w:ascii="Arial" w:hAnsi="Arial" w:cs="Arial"/>
              <w:sz w:val="36"/>
              <w:szCs w:val="36"/>
              <w:lang w:val="es-ES"/>
            </w:rPr>
            <w:t>CONTENIDO</w:t>
          </w:r>
        </w:p>
        <w:p w:rsidR="00363846" w:rsidRPr="00363846" w:rsidRDefault="00363846" w:rsidP="00363846">
          <w:pPr>
            <w:rPr>
              <w:lang w:eastAsia="es-MX"/>
            </w:rPr>
          </w:pPr>
        </w:p>
        <w:p w:rsidR="00363846" w:rsidRPr="00363846" w:rsidRDefault="00363846" w:rsidP="00363846">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765498" w:history="1">
            <w:r w:rsidRPr="00363846">
              <w:rPr>
                <w:rStyle w:val="Hipervnculo"/>
                <w:rFonts w:ascii="Arial" w:hAnsi="Arial" w:cs="Arial"/>
                <w:noProof/>
                <w:color w:val="auto"/>
                <w:szCs w:val="24"/>
              </w:rPr>
              <w:t>1.</w:t>
            </w:r>
            <w:r w:rsidRPr="00363846">
              <w:rPr>
                <w:rFonts w:ascii="Arial" w:hAnsi="Arial" w:cs="Arial"/>
                <w:noProof/>
                <w:color w:val="auto"/>
                <w:szCs w:val="24"/>
                <w:lang w:val="es-MX" w:eastAsia="es-MX"/>
              </w:rPr>
              <w:tab/>
            </w:r>
            <w:r w:rsidRPr="00363846">
              <w:rPr>
                <w:rStyle w:val="Hipervnculo"/>
                <w:rFonts w:ascii="Arial" w:hAnsi="Arial" w:cs="Arial"/>
                <w:noProof/>
                <w:color w:val="auto"/>
                <w:szCs w:val="24"/>
              </w:rPr>
              <w:t>JURISPRUDENCIAS EN MATERIA MERCANTIL</w:t>
            </w:r>
            <w:r w:rsidRPr="00363846">
              <w:rPr>
                <w:rFonts w:ascii="Arial" w:hAnsi="Arial" w:cs="Arial"/>
                <w:noProof/>
                <w:webHidden/>
                <w:color w:val="auto"/>
                <w:szCs w:val="24"/>
              </w:rPr>
              <w:tab/>
            </w:r>
            <w:r w:rsidRPr="00363846">
              <w:rPr>
                <w:rFonts w:ascii="Arial" w:hAnsi="Arial" w:cs="Arial"/>
                <w:noProof/>
                <w:webHidden/>
                <w:color w:val="auto"/>
                <w:szCs w:val="24"/>
              </w:rPr>
              <w:fldChar w:fldCharType="begin"/>
            </w:r>
            <w:r w:rsidRPr="00363846">
              <w:rPr>
                <w:rFonts w:ascii="Arial" w:hAnsi="Arial" w:cs="Arial"/>
                <w:noProof/>
                <w:webHidden/>
                <w:color w:val="auto"/>
                <w:szCs w:val="24"/>
              </w:rPr>
              <w:instrText xml:space="preserve"> PAGEREF _Toc30765498 \h </w:instrText>
            </w:r>
            <w:r w:rsidRPr="00363846">
              <w:rPr>
                <w:rFonts w:ascii="Arial" w:hAnsi="Arial" w:cs="Arial"/>
                <w:noProof/>
                <w:webHidden/>
                <w:color w:val="auto"/>
                <w:szCs w:val="24"/>
              </w:rPr>
            </w:r>
            <w:r w:rsidRPr="00363846">
              <w:rPr>
                <w:rFonts w:ascii="Arial" w:hAnsi="Arial" w:cs="Arial"/>
                <w:noProof/>
                <w:webHidden/>
                <w:color w:val="auto"/>
                <w:szCs w:val="24"/>
              </w:rPr>
              <w:fldChar w:fldCharType="separate"/>
            </w:r>
            <w:r w:rsidRPr="00363846">
              <w:rPr>
                <w:rFonts w:ascii="Arial" w:hAnsi="Arial" w:cs="Arial"/>
                <w:noProof/>
                <w:webHidden/>
                <w:color w:val="auto"/>
                <w:szCs w:val="24"/>
              </w:rPr>
              <w:t>2</w:t>
            </w:r>
            <w:r w:rsidRPr="00363846">
              <w:rPr>
                <w:rFonts w:ascii="Arial" w:hAnsi="Arial" w:cs="Arial"/>
                <w:noProof/>
                <w:webHidden/>
                <w:color w:val="auto"/>
                <w:szCs w:val="24"/>
              </w:rPr>
              <w:fldChar w:fldCharType="end"/>
            </w:r>
          </w:hyperlink>
        </w:p>
        <w:p w:rsidR="00363846" w:rsidRPr="00363846" w:rsidRDefault="00363846" w:rsidP="00363846">
          <w:pPr>
            <w:pStyle w:val="TDC2"/>
            <w:tabs>
              <w:tab w:val="left" w:pos="880"/>
              <w:tab w:val="right" w:leader="dot" w:pos="8830"/>
            </w:tabs>
            <w:jc w:val="both"/>
            <w:rPr>
              <w:rFonts w:ascii="Arial" w:eastAsiaTheme="minorEastAsia" w:hAnsi="Arial" w:cs="Arial"/>
              <w:noProof/>
              <w:sz w:val="24"/>
              <w:szCs w:val="24"/>
              <w:lang w:eastAsia="es-MX"/>
            </w:rPr>
          </w:pPr>
          <w:hyperlink w:anchor="_Toc30765499" w:history="1">
            <w:r w:rsidRPr="00363846">
              <w:rPr>
                <w:rStyle w:val="Hipervnculo"/>
                <w:rFonts w:ascii="Arial" w:hAnsi="Arial" w:cs="Arial"/>
                <w:noProof/>
                <w:color w:val="auto"/>
                <w:sz w:val="24"/>
                <w:szCs w:val="24"/>
              </w:rPr>
              <w:t>1.1</w:t>
            </w:r>
            <w:r w:rsidRPr="00363846">
              <w:rPr>
                <w:rFonts w:ascii="Arial" w:eastAsiaTheme="minorEastAsia" w:hAnsi="Arial" w:cs="Arial"/>
                <w:noProof/>
                <w:sz w:val="24"/>
                <w:szCs w:val="24"/>
                <w:lang w:eastAsia="es-MX"/>
              </w:rPr>
              <w:tab/>
            </w:r>
            <w:r w:rsidRPr="00363846">
              <w:rPr>
                <w:rStyle w:val="Hipervnculo"/>
                <w:rFonts w:ascii="Arial" w:hAnsi="Arial" w:cs="Arial"/>
                <w:noProof/>
                <w:color w:val="auto"/>
                <w:sz w:val="24"/>
                <w:szCs w:val="24"/>
              </w:rPr>
              <w:t>RETENCIÓN DE BIENES. LOS INTEGRANTES DEL SISTEMA BANCARIO MEXICANO DEBEN OTORGAR GARANTÍA EN TÉRMINOS DEL ARTÍCULO 1175, FRACCIÓN V, DEL CÓDIGO DE COMERCIO, PARA RESPONDER DE LOS POSIBLES DAÑOS Y PERJUICIOS QUE DICHA MEDIDA PRECAUTORIA PUEDA OCASIONAR AL DEUDOR.</w:t>
            </w:r>
            <w:r w:rsidRPr="00363846">
              <w:rPr>
                <w:rFonts w:ascii="Arial" w:hAnsi="Arial" w:cs="Arial"/>
                <w:noProof/>
                <w:webHidden/>
                <w:sz w:val="24"/>
                <w:szCs w:val="24"/>
              </w:rPr>
              <w:tab/>
            </w:r>
            <w:r w:rsidRPr="00363846">
              <w:rPr>
                <w:rFonts w:ascii="Arial" w:hAnsi="Arial" w:cs="Arial"/>
                <w:noProof/>
                <w:webHidden/>
                <w:sz w:val="24"/>
                <w:szCs w:val="24"/>
              </w:rPr>
              <w:fldChar w:fldCharType="begin"/>
            </w:r>
            <w:r w:rsidRPr="00363846">
              <w:rPr>
                <w:rFonts w:ascii="Arial" w:hAnsi="Arial" w:cs="Arial"/>
                <w:noProof/>
                <w:webHidden/>
                <w:sz w:val="24"/>
                <w:szCs w:val="24"/>
              </w:rPr>
              <w:instrText xml:space="preserve"> PAGEREF _Toc30765499 \h </w:instrText>
            </w:r>
            <w:r w:rsidRPr="00363846">
              <w:rPr>
                <w:rFonts w:ascii="Arial" w:hAnsi="Arial" w:cs="Arial"/>
                <w:noProof/>
                <w:webHidden/>
                <w:sz w:val="24"/>
                <w:szCs w:val="24"/>
              </w:rPr>
            </w:r>
            <w:r w:rsidRPr="00363846">
              <w:rPr>
                <w:rFonts w:ascii="Arial" w:hAnsi="Arial" w:cs="Arial"/>
                <w:noProof/>
                <w:webHidden/>
                <w:sz w:val="24"/>
                <w:szCs w:val="24"/>
              </w:rPr>
              <w:fldChar w:fldCharType="separate"/>
            </w:r>
            <w:r w:rsidRPr="00363846">
              <w:rPr>
                <w:rFonts w:ascii="Arial" w:hAnsi="Arial" w:cs="Arial"/>
                <w:noProof/>
                <w:webHidden/>
                <w:sz w:val="24"/>
                <w:szCs w:val="24"/>
              </w:rPr>
              <w:t>2</w:t>
            </w:r>
            <w:r w:rsidRPr="00363846">
              <w:rPr>
                <w:rFonts w:ascii="Arial" w:hAnsi="Arial" w:cs="Arial"/>
                <w:noProof/>
                <w:webHidden/>
                <w:sz w:val="24"/>
                <w:szCs w:val="24"/>
              </w:rPr>
              <w:fldChar w:fldCharType="end"/>
            </w:r>
          </w:hyperlink>
        </w:p>
        <w:p w:rsidR="00363846" w:rsidRPr="00363846" w:rsidRDefault="00363846" w:rsidP="00363846">
          <w:pPr>
            <w:pStyle w:val="TDC2"/>
            <w:tabs>
              <w:tab w:val="left" w:pos="880"/>
              <w:tab w:val="right" w:leader="dot" w:pos="8830"/>
            </w:tabs>
            <w:jc w:val="both"/>
            <w:rPr>
              <w:rFonts w:ascii="Arial" w:eastAsiaTheme="minorEastAsia" w:hAnsi="Arial" w:cs="Arial"/>
              <w:noProof/>
              <w:sz w:val="24"/>
              <w:szCs w:val="24"/>
              <w:lang w:eastAsia="es-MX"/>
            </w:rPr>
          </w:pPr>
          <w:hyperlink w:anchor="_Toc30765500" w:history="1">
            <w:r w:rsidRPr="00363846">
              <w:rPr>
                <w:rStyle w:val="Hipervnculo"/>
                <w:rFonts w:ascii="Arial" w:hAnsi="Arial" w:cs="Arial"/>
                <w:noProof/>
                <w:color w:val="auto"/>
                <w:sz w:val="24"/>
                <w:szCs w:val="24"/>
              </w:rPr>
              <w:t>1.2</w:t>
            </w:r>
            <w:r w:rsidRPr="00363846">
              <w:rPr>
                <w:rFonts w:ascii="Arial" w:eastAsiaTheme="minorEastAsia" w:hAnsi="Arial" w:cs="Arial"/>
                <w:noProof/>
                <w:sz w:val="24"/>
                <w:szCs w:val="24"/>
                <w:lang w:eastAsia="es-MX"/>
              </w:rPr>
              <w:tab/>
            </w:r>
            <w:r w:rsidRPr="00363846">
              <w:rPr>
                <w:rStyle w:val="Hipervnculo"/>
                <w:rFonts w:ascii="Arial" w:hAnsi="Arial" w:cs="Arial"/>
                <w:noProof/>
                <w:color w:val="auto"/>
                <w:sz w:val="24"/>
                <w:szCs w:val="24"/>
              </w:rPr>
              <w:t>CESIÓN DE CRÉDITOS CON GARANTÍA HIPOTECARIA. LA NOTIFICACIÓN AL DEUDOR COMO REQUISITO PREVIO PARA LA PROCEDENCIA DE LA ACCIÓN HIPOTECARIA, NO PUEDE REALIZARLA UN CORREDOR PÚBLICO, AL CARECER DE FACULTADES PARA EFECTUARLA.</w:t>
            </w:r>
            <w:r w:rsidRPr="00363846">
              <w:rPr>
                <w:rFonts w:ascii="Arial" w:hAnsi="Arial" w:cs="Arial"/>
                <w:noProof/>
                <w:webHidden/>
                <w:sz w:val="24"/>
                <w:szCs w:val="24"/>
              </w:rPr>
              <w:tab/>
            </w:r>
            <w:r w:rsidRPr="00363846">
              <w:rPr>
                <w:rFonts w:ascii="Arial" w:hAnsi="Arial" w:cs="Arial"/>
                <w:noProof/>
                <w:webHidden/>
                <w:sz w:val="24"/>
                <w:szCs w:val="24"/>
              </w:rPr>
              <w:fldChar w:fldCharType="begin"/>
            </w:r>
            <w:r w:rsidRPr="00363846">
              <w:rPr>
                <w:rFonts w:ascii="Arial" w:hAnsi="Arial" w:cs="Arial"/>
                <w:noProof/>
                <w:webHidden/>
                <w:sz w:val="24"/>
                <w:szCs w:val="24"/>
              </w:rPr>
              <w:instrText xml:space="preserve"> PAGEREF _Toc30765500 \h </w:instrText>
            </w:r>
            <w:r w:rsidRPr="00363846">
              <w:rPr>
                <w:rFonts w:ascii="Arial" w:hAnsi="Arial" w:cs="Arial"/>
                <w:noProof/>
                <w:webHidden/>
                <w:sz w:val="24"/>
                <w:szCs w:val="24"/>
              </w:rPr>
            </w:r>
            <w:r w:rsidRPr="00363846">
              <w:rPr>
                <w:rFonts w:ascii="Arial" w:hAnsi="Arial" w:cs="Arial"/>
                <w:noProof/>
                <w:webHidden/>
                <w:sz w:val="24"/>
                <w:szCs w:val="24"/>
              </w:rPr>
              <w:fldChar w:fldCharType="separate"/>
            </w:r>
            <w:r w:rsidRPr="00363846">
              <w:rPr>
                <w:rFonts w:ascii="Arial" w:hAnsi="Arial" w:cs="Arial"/>
                <w:noProof/>
                <w:webHidden/>
                <w:sz w:val="24"/>
                <w:szCs w:val="24"/>
              </w:rPr>
              <w:t>4</w:t>
            </w:r>
            <w:r w:rsidRPr="00363846">
              <w:rPr>
                <w:rFonts w:ascii="Arial" w:hAnsi="Arial" w:cs="Arial"/>
                <w:noProof/>
                <w:webHidden/>
                <w:sz w:val="24"/>
                <w:szCs w:val="24"/>
              </w:rPr>
              <w:fldChar w:fldCharType="end"/>
            </w:r>
          </w:hyperlink>
        </w:p>
        <w:p w:rsidR="00363846" w:rsidRPr="00363846" w:rsidRDefault="00363846" w:rsidP="00363846">
          <w:pPr>
            <w:pStyle w:val="TDC1"/>
            <w:tabs>
              <w:tab w:val="left" w:pos="440"/>
              <w:tab w:val="right" w:leader="dot" w:pos="8830"/>
            </w:tabs>
            <w:jc w:val="both"/>
            <w:rPr>
              <w:rFonts w:ascii="Arial" w:hAnsi="Arial" w:cs="Arial"/>
              <w:noProof/>
              <w:color w:val="auto"/>
              <w:szCs w:val="24"/>
              <w:lang w:val="es-MX" w:eastAsia="es-MX"/>
            </w:rPr>
          </w:pPr>
          <w:hyperlink w:anchor="_Toc30765501" w:history="1">
            <w:r w:rsidRPr="00363846">
              <w:rPr>
                <w:rStyle w:val="Hipervnculo"/>
                <w:rFonts w:ascii="Arial" w:hAnsi="Arial" w:cs="Arial"/>
                <w:noProof/>
                <w:color w:val="auto"/>
                <w:szCs w:val="24"/>
              </w:rPr>
              <w:t>2.</w:t>
            </w:r>
            <w:r w:rsidRPr="00363846">
              <w:rPr>
                <w:rFonts w:ascii="Arial" w:hAnsi="Arial" w:cs="Arial"/>
                <w:noProof/>
                <w:color w:val="auto"/>
                <w:szCs w:val="24"/>
                <w:lang w:val="es-MX" w:eastAsia="es-MX"/>
              </w:rPr>
              <w:tab/>
            </w:r>
            <w:r w:rsidRPr="00363846">
              <w:rPr>
                <w:rStyle w:val="Hipervnculo"/>
                <w:rFonts w:ascii="Arial" w:hAnsi="Arial" w:cs="Arial"/>
                <w:noProof/>
                <w:color w:val="auto"/>
                <w:szCs w:val="24"/>
              </w:rPr>
              <w:t>FUENTES CONSULTADAS</w:t>
            </w:r>
            <w:r w:rsidRPr="00363846">
              <w:rPr>
                <w:rFonts w:ascii="Arial" w:hAnsi="Arial" w:cs="Arial"/>
                <w:noProof/>
                <w:webHidden/>
                <w:color w:val="auto"/>
                <w:szCs w:val="24"/>
              </w:rPr>
              <w:tab/>
            </w:r>
            <w:r w:rsidRPr="00363846">
              <w:rPr>
                <w:rFonts w:ascii="Arial" w:hAnsi="Arial" w:cs="Arial"/>
                <w:noProof/>
                <w:webHidden/>
                <w:color w:val="auto"/>
                <w:szCs w:val="24"/>
              </w:rPr>
              <w:fldChar w:fldCharType="begin"/>
            </w:r>
            <w:r w:rsidRPr="00363846">
              <w:rPr>
                <w:rFonts w:ascii="Arial" w:hAnsi="Arial" w:cs="Arial"/>
                <w:noProof/>
                <w:webHidden/>
                <w:color w:val="auto"/>
                <w:szCs w:val="24"/>
              </w:rPr>
              <w:instrText xml:space="preserve"> PAGEREF _Toc30765501 \h </w:instrText>
            </w:r>
            <w:r w:rsidRPr="00363846">
              <w:rPr>
                <w:rFonts w:ascii="Arial" w:hAnsi="Arial" w:cs="Arial"/>
                <w:noProof/>
                <w:webHidden/>
                <w:color w:val="auto"/>
                <w:szCs w:val="24"/>
              </w:rPr>
            </w:r>
            <w:r w:rsidRPr="00363846">
              <w:rPr>
                <w:rFonts w:ascii="Arial" w:hAnsi="Arial" w:cs="Arial"/>
                <w:noProof/>
                <w:webHidden/>
                <w:color w:val="auto"/>
                <w:szCs w:val="24"/>
              </w:rPr>
              <w:fldChar w:fldCharType="separate"/>
            </w:r>
            <w:r w:rsidRPr="00363846">
              <w:rPr>
                <w:rFonts w:ascii="Arial" w:hAnsi="Arial" w:cs="Arial"/>
                <w:noProof/>
                <w:webHidden/>
                <w:color w:val="auto"/>
                <w:szCs w:val="24"/>
              </w:rPr>
              <w:t>5</w:t>
            </w:r>
            <w:r w:rsidRPr="00363846">
              <w:rPr>
                <w:rFonts w:ascii="Arial" w:hAnsi="Arial" w:cs="Arial"/>
                <w:noProof/>
                <w:webHidden/>
                <w:color w:val="auto"/>
                <w:szCs w:val="24"/>
              </w:rPr>
              <w:fldChar w:fldCharType="end"/>
            </w:r>
          </w:hyperlink>
        </w:p>
        <w:p w:rsidR="00363846" w:rsidRPr="00363846" w:rsidRDefault="00363846" w:rsidP="00363846">
          <w:pPr>
            <w:pStyle w:val="TDC2"/>
            <w:tabs>
              <w:tab w:val="left" w:pos="880"/>
              <w:tab w:val="right" w:leader="dot" w:pos="8830"/>
            </w:tabs>
            <w:jc w:val="both"/>
            <w:rPr>
              <w:rFonts w:ascii="Arial" w:eastAsiaTheme="minorEastAsia" w:hAnsi="Arial" w:cs="Arial"/>
              <w:noProof/>
              <w:sz w:val="24"/>
              <w:szCs w:val="24"/>
              <w:lang w:eastAsia="es-MX"/>
            </w:rPr>
          </w:pPr>
          <w:hyperlink w:anchor="_Toc30765502" w:history="1">
            <w:r w:rsidRPr="00363846">
              <w:rPr>
                <w:rStyle w:val="Hipervnculo"/>
                <w:rFonts w:ascii="Arial" w:hAnsi="Arial" w:cs="Arial"/>
                <w:noProof/>
                <w:color w:val="auto"/>
                <w:sz w:val="24"/>
                <w:szCs w:val="24"/>
              </w:rPr>
              <w:t>2.1</w:t>
            </w:r>
            <w:r w:rsidRPr="00363846">
              <w:rPr>
                <w:rFonts w:ascii="Arial" w:eastAsiaTheme="minorEastAsia" w:hAnsi="Arial" w:cs="Arial"/>
                <w:noProof/>
                <w:sz w:val="24"/>
                <w:szCs w:val="24"/>
                <w:lang w:eastAsia="es-MX"/>
              </w:rPr>
              <w:tab/>
            </w:r>
            <w:r w:rsidRPr="00363846">
              <w:rPr>
                <w:rStyle w:val="Hipervnculo"/>
                <w:rFonts w:ascii="Arial" w:hAnsi="Arial" w:cs="Arial"/>
                <w:noProof/>
                <w:color w:val="auto"/>
                <w:sz w:val="24"/>
                <w:szCs w:val="24"/>
              </w:rPr>
              <w:t>CIBEROGRÁFICA:</w:t>
            </w:r>
            <w:r w:rsidRPr="00363846">
              <w:rPr>
                <w:rFonts w:ascii="Arial" w:hAnsi="Arial" w:cs="Arial"/>
                <w:noProof/>
                <w:webHidden/>
                <w:sz w:val="24"/>
                <w:szCs w:val="24"/>
              </w:rPr>
              <w:tab/>
            </w:r>
            <w:r w:rsidRPr="00363846">
              <w:rPr>
                <w:rFonts w:ascii="Arial" w:hAnsi="Arial" w:cs="Arial"/>
                <w:noProof/>
                <w:webHidden/>
                <w:sz w:val="24"/>
                <w:szCs w:val="24"/>
              </w:rPr>
              <w:fldChar w:fldCharType="begin"/>
            </w:r>
            <w:r w:rsidRPr="00363846">
              <w:rPr>
                <w:rFonts w:ascii="Arial" w:hAnsi="Arial" w:cs="Arial"/>
                <w:noProof/>
                <w:webHidden/>
                <w:sz w:val="24"/>
                <w:szCs w:val="24"/>
              </w:rPr>
              <w:instrText xml:space="preserve"> PAGEREF _Toc30765502 \h </w:instrText>
            </w:r>
            <w:r w:rsidRPr="00363846">
              <w:rPr>
                <w:rFonts w:ascii="Arial" w:hAnsi="Arial" w:cs="Arial"/>
                <w:noProof/>
                <w:webHidden/>
                <w:sz w:val="24"/>
                <w:szCs w:val="24"/>
              </w:rPr>
            </w:r>
            <w:r w:rsidRPr="00363846">
              <w:rPr>
                <w:rFonts w:ascii="Arial" w:hAnsi="Arial" w:cs="Arial"/>
                <w:noProof/>
                <w:webHidden/>
                <w:sz w:val="24"/>
                <w:szCs w:val="24"/>
              </w:rPr>
              <w:fldChar w:fldCharType="separate"/>
            </w:r>
            <w:r w:rsidRPr="00363846">
              <w:rPr>
                <w:rFonts w:ascii="Arial" w:hAnsi="Arial" w:cs="Arial"/>
                <w:noProof/>
                <w:webHidden/>
                <w:sz w:val="24"/>
                <w:szCs w:val="24"/>
              </w:rPr>
              <w:t>5</w:t>
            </w:r>
            <w:r w:rsidRPr="00363846">
              <w:rPr>
                <w:rFonts w:ascii="Arial" w:hAnsi="Arial" w:cs="Arial"/>
                <w:noProof/>
                <w:webHidden/>
                <w:sz w:val="24"/>
                <w:szCs w:val="24"/>
              </w:rPr>
              <w:fldChar w:fldCharType="end"/>
            </w:r>
          </w:hyperlink>
        </w:p>
        <w:p w:rsidR="00363846" w:rsidRDefault="00363846" w:rsidP="00363846">
          <w:pPr>
            <w:pStyle w:val="TDC3"/>
            <w:tabs>
              <w:tab w:val="left" w:pos="1320"/>
              <w:tab w:val="right" w:leader="dot" w:pos="8830"/>
            </w:tabs>
            <w:jc w:val="both"/>
            <w:rPr>
              <w:rFonts w:eastAsiaTheme="minorEastAsia"/>
              <w:noProof/>
              <w:lang w:eastAsia="es-MX"/>
            </w:rPr>
          </w:pPr>
          <w:hyperlink w:anchor="_Toc30765503" w:history="1">
            <w:r w:rsidRPr="00363846">
              <w:rPr>
                <w:rStyle w:val="Hipervnculo"/>
                <w:rFonts w:ascii="Arial" w:hAnsi="Arial" w:cs="Arial"/>
                <w:noProof/>
                <w:color w:val="auto"/>
                <w:sz w:val="24"/>
                <w:szCs w:val="24"/>
              </w:rPr>
              <w:t>2.1.1</w:t>
            </w:r>
            <w:r w:rsidRPr="00363846">
              <w:rPr>
                <w:rFonts w:ascii="Arial" w:eastAsiaTheme="minorEastAsia" w:hAnsi="Arial" w:cs="Arial"/>
                <w:noProof/>
                <w:sz w:val="24"/>
                <w:szCs w:val="24"/>
                <w:lang w:eastAsia="es-MX"/>
              </w:rPr>
              <w:tab/>
            </w:r>
            <w:r w:rsidRPr="00363846">
              <w:rPr>
                <w:rStyle w:val="Hipervnculo"/>
                <w:rFonts w:ascii="Arial" w:hAnsi="Arial" w:cs="Arial"/>
                <w:noProof/>
                <w:color w:val="auto"/>
                <w:sz w:val="24"/>
                <w:szCs w:val="24"/>
              </w:rPr>
              <w:t>SEMANARIO JUDICIAL DE LA FEDERACIÓN</w:t>
            </w:r>
            <w:r w:rsidRPr="00363846">
              <w:rPr>
                <w:rFonts w:ascii="Arial" w:hAnsi="Arial" w:cs="Arial"/>
                <w:noProof/>
                <w:webHidden/>
                <w:sz w:val="24"/>
                <w:szCs w:val="24"/>
              </w:rPr>
              <w:tab/>
            </w:r>
            <w:r w:rsidRPr="00363846">
              <w:rPr>
                <w:rFonts w:ascii="Arial" w:hAnsi="Arial" w:cs="Arial"/>
                <w:noProof/>
                <w:webHidden/>
                <w:sz w:val="24"/>
                <w:szCs w:val="24"/>
              </w:rPr>
              <w:fldChar w:fldCharType="begin"/>
            </w:r>
            <w:r w:rsidRPr="00363846">
              <w:rPr>
                <w:rFonts w:ascii="Arial" w:hAnsi="Arial" w:cs="Arial"/>
                <w:noProof/>
                <w:webHidden/>
                <w:sz w:val="24"/>
                <w:szCs w:val="24"/>
              </w:rPr>
              <w:instrText xml:space="preserve"> PAGEREF _Toc30765503 \h </w:instrText>
            </w:r>
            <w:r w:rsidRPr="00363846">
              <w:rPr>
                <w:rFonts w:ascii="Arial" w:hAnsi="Arial" w:cs="Arial"/>
                <w:noProof/>
                <w:webHidden/>
                <w:sz w:val="24"/>
                <w:szCs w:val="24"/>
              </w:rPr>
            </w:r>
            <w:r w:rsidRPr="00363846">
              <w:rPr>
                <w:rFonts w:ascii="Arial" w:hAnsi="Arial" w:cs="Arial"/>
                <w:noProof/>
                <w:webHidden/>
                <w:sz w:val="24"/>
                <w:szCs w:val="24"/>
              </w:rPr>
              <w:fldChar w:fldCharType="separate"/>
            </w:r>
            <w:r w:rsidRPr="00363846">
              <w:rPr>
                <w:rFonts w:ascii="Arial" w:hAnsi="Arial" w:cs="Arial"/>
                <w:noProof/>
                <w:webHidden/>
                <w:sz w:val="24"/>
                <w:szCs w:val="24"/>
              </w:rPr>
              <w:t>5</w:t>
            </w:r>
            <w:r w:rsidRPr="00363846">
              <w:rPr>
                <w:rFonts w:ascii="Arial" w:hAnsi="Arial" w:cs="Arial"/>
                <w:noProof/>
                <w:webHidden/>
                <w:sz w:val="24"/>
                <w:szCs w:val="24"/>
              </w:rPr>
              <w:fldChar w:fldCharType="end"/>
            </w:r>
          </w:hyperlink>
        </w:p>
        <w:p w:rsidR="00363846" w:rsidRDefault="00363846">
          <w:r>
            <w:rPr>
              <w:b/>
              <w:bCs/>
            </w:rPr>
            <w:fldChar w:fldCharType="end"/>
          </w:r>
        </w:p>
        <w:bookmarkStart w:id="0" w:name="_GoBack" w:displacedByCustomXml="next"/>
        <w:bookmarkEnd w:id="0" w:displacedByCustomXml="next"/>
      </w:sdtContent>
    </w:sdt>
    <w:p w:rsidR="00363846" w:rsidRDefault="00363846">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A603D" w:rsidRPr="00903661" w:rsidRDefault="00CA603D" w:rsidP="00903661">
      <w:pPr>
        <w:pStyle w:val="Ttulo1"/>
        <w:numPr>
          <w:ilvl w:val="0"/>
          <w:numId w:val="7"/>
        </w:numPr>
        <w:jc w:val="center"/>
        <w:rPr>
          <w:rFonts w:ascii="Arial" w:hAnsi="Arial" w:cs="Arial"/>
          <w:color w:val="B35E06" w:themeColor="accent1" w:themeShade="BF"/>
          <w:sz w:val="36"/>
          <w:szCs w:val="36"/>
        </w:rPr>
      </w:pPr>
      <w:bookmarkStart w:id="1" w:name="_Toc30765498"/>
      <w:r w:rsidRPr="00903661">
        <w:rPr>
          <w:rFonts w:ascii="Arial" w:hAnsi="Arial" w:cs="Arial"/>
          <w:color w:val="B35E06" w:themeColor="accent1" w:themeShade="BF"/>
          <w:sz w:val="36"/>
          <w:szCs w:val="36"/>
        </w:rPr>
        <w:lastRenderedPageBreak/>
        <w:t>JURISPRUDENCIAS EN MATERIA MERCANTIL</w:t>
      </w:r>
      <w:bookmarkEnd w:id="1"/>
    </w:p>
    <w:p w:rsidR="00CA603D" w:rsidRDefault="00CA603D" w:rsidP="00CA603D">
      <w:pPr>
        <w:spacing w:after="0" w:line="240" w:lineRule="auto"/>
        <w:jc w:val="both"/>
        <w:rPr>
          <w:rFonts w:ascii="Arial" w:hAnsi="Arial" w:cs="Arial"/>
        </w:rPr>
      </w:pPr>
    </w:p>
    <w:p w:rsidR="00C06191" w:rsidRPr="00CA603D" w:rsidRDefault="00903661" w:rsidP="00CA603D">
      <w:pPr>
        <w:spacing w:after="0" w:line="240" w:lineRule="auto"/>
        <w:jc w:val="both"/>
        <w:rPr>
          <w:rFonts w:ascii="Arial" w:hAnsi="Arial" w:cs="Arial"/>
        </w:rPr>
      </w:pPr>
      <w:r>
        <w:rPr>
          <w:rFonts w:ascii="Arial" w:hAnsi="Arial" w:cs="Arial"/>
        </w:rPr>
        <w:t xml:space="preserve">1. </w:t>
      </w:r>
      <w:r w:rsidR="00C06191" w:rsidRPr="00CA603D">
        <w:rPr>
          <w:rFonts w:ascii="Arial" w:hAnsi="Arial" w:cs="Arial"/>
        </w:rPr>
        <w:t xml:space="preserve">Época: Décima Época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Registro: 2021511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Instancia: Plenos de Circuito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Tipo de Tesis: Jurisprudencia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Fuente: Semanario Judicial de la Federación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Publicación: viernes 24 de enero de 2020 10:25 h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Materia(s): (Civil) </w:t>
      </w: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Tesis: </w:t>
      </w:r>
      <w:proofErr w:type="spellStart"/>
      <w:r w:rsidRPr="00CA603D">
        <w:rPr>
          <w:rFonts w:ascii="Arial" w:hAnsi="Arial" w:cs="Arial"/>
        </w:rPr>
        <w:t>PC.I.C</w:t>
      </w:r>
      <w:proofErr w:type="spellEnd"/>
      <w:r w:rsidRPr="00CA603D">
        <w:rPr>
          <w:rFonts w:ascii="Arial" w:hAnsi="Arial" w:cs="Arial"/>
        </w:rPr>
        <w:t xml:space="preserve">. J/101 C (10a.) </w:t>
      </w:r>
    </w:p>
    <w:p w:rsidR="00C06191" w:rsidRPr="00CA603D" w:rsidRDefault="00C06191" w:rsidP="00CA603D">
      <w:pPr>
        <w:spacing w:after="0" w:line="240" w:lineRule="auto"/>
        <w:jc w:val="both"/>
        <w:rPr>
          <w:rFonts w:ascii="Arial" w:hAnsi="Arial" w:cs="Arial"/>
        </w:rPr>
      </w:pPr>
    </w:p>
    <w:p w:rsidR="00C06191" w:rsidRPr="00903661" w:rsidRDefault="00C06191" w:rsidP="00903661">
      <w:pPr>
        <w:pStyle w:val="Ttulo2"/>
        <w:jc w:val="both"/>
        <w:rPr>
          <w:rFonts w:ascii="Arial" w:hAnsi="Arial" w:cs="Arial"/>
          <w:color w:val="B35E06" w:themeColor="accent1" w:themeShade="BF"/>
          <w:sz w:val="26"/>
          <w:szCs w:val="26"/>
        </w:rPr>
      </w:pPr>
      <w:bookmarkStart w:id="2" w:name="_Toc30765499"/>
      <w:r w:rsidRPr="00903661">
        <w:rPr>
          <w:rFonts w:ascii="Arial" w:hAnsi="Arial" w:cs="Arial"/>
          <w:color w:val="B35E06" w:themeColor="accent1" w:themeShade="BF"/>
          <w:sz w:val="26"/>
          <w:szCs w:val="26"/>
        </w:rPr>
        <w:t>RETENCIÓN DE BIENES. LOS INTEGRANTES DEL SISTEMA BANCARIO MEXICANO DEBEN OTORGAR GARANTÍA EN TÉRMINOS DEL ARTÍCULO 1175, FRACCIÓN V, DEL CÓDIGO DE COMERCIO, PARA RESPONDER DE LOS POSIBLES DAÑOS Y PERJUICIOS QUE DICHA MEDIDA PRECAUTORIA PUEDA OCASIONAR AL DEUDOR.</w:t>
      </w:r>
      <w:bookmarkEnd w:id="2"/>
    </w:p>
    <w:p w:rsidR="00C06191" w:rsidRPr="00CA603D" w:rsidRDefault="00C06191" w:rsidP="00CA603D">
      <w:pPr>
        <w:spacing w:after="0" w:line="240" w:lineRule="auto"/>
        <w:jc w:val="both"/>
        <w:rPr>
          <w:rFonts w:ascii="Arial" w:hAnsi="Arial" w:cs="Arial"/>
        </w:rPr>
      </w:pP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El precepto citado exige que el solicitante de la retención de bienes otorgue garantía para responder de los posibles daños y perjuicios que con esa medida, puedan ocasionarse al deudor, en caso de que no se presente la demanda en tiempo legal o éste resulte absuelto. Ahora bien, los integrantes del Sistema Bancario Mexicano que soliciten dicha medida precautoria deben otorgar garantía, a pesar de lo dispuesto por el artículo 86 de la Ley de Instituciones de Crédito, que los exceptúa de otorgar depósitos o fianzas legales, pues esta antinomia debe resolverse mediante el criterio de especialidad, cuya ley especial reviste el Código de Comercio que regula en forma específica la procedencia y procedimiento de las providencias precautorias, a diferencia de la normatividad sustantiva y general de la Ley de Instituciones de Crédito sobre el servicio de banca y crédito, y el funcionamiento de las intermediarias financieras, por lo que si un banco solicita la retención de bienes, debe ajustarse a las exigencias de la normatividad procedimental que, entre otros aspectos, exige el otorgamiento de garantía. Esta solución normativa, además, encuentra justificación en el marco constitucional, por un lado, para evitar que se acentúe la relación de asimetría entre los bancos y los usuarios de servicios financieros, derivada de la posición desigual en la que se encuentran, que ha dado lugar a que el legislador establezca facultades, </w:t>
      </w:r>
      <w:r w:rsidRPr="00CA603D">
        <w:rPr>
          <w:rFonts w:ascii="Arial" w:hAnsi="Arial" w:cs="Arial"/>
        </w:rPr>
        <w:lastRenderedPageBreak/>
        <w:t>prerrogativas o privilegios en favor de aquéllos para confeccionar títulos o documentos para acceder a vías ejecutivas o privilegiadas y determinar saldos en relación con las operaciones de crédito; sin embargo, ello no justifica que adicionalmente se establezcan mayores prerrogativas a los bancos a su favor en la ley especial, esto es, el Código de Comercio, pues el legislador no las consideró para exentar del otorgamiento de garantías en las providencias precautorias; por otra parte, la exigencia de la caución respeta los principios del derecho cautelar, porque en ella se funden el riesgo del solicitante de la retención de bienes respecto a su derecho de crédito para el caso de que no presente la demanda oportunamente o no obtenga una sentencia favorable, en relación con la afectación que resiente la persona contra quien se pide la medida, a la que no se le otorga la previa audiencia, pero encuentra asegurado el resarcimiento de los posibles daños y perjuicios que se le ocasionen con ella, en caso de resultar injustificada. Lo anterior maximiza el principio de igualdad procesal garantizado en el artículo 17 constitucional en relación con el mandato contenido en el artículo 1o., ambos de la Constitución Federal, al desaplicarse la porción normativa contenida en el citado precepto 86 de la Ley de Instituciones de Crédito y preferirse la aplicación de la fracción V del diverso 1175 del Código de Comercio.</w:t>
      </w:r>
    </w:p>
    <w:p w:rsidR="00C06191" w:rsidRPr="00CA603D" w:rsidRDefault="00C06191" w:rsidP="00CA603D">
      <w:pPr>
        <w:spacing w:after="0" w:line="240" w:lineRule="auto"/>
        <w:jc w:val="both"/>
        <w:rPr>
          <w:rFonts w:ascii="Arial" w:hAnsi="Arial" w:cs="Arial"/>
        </w:rPr>
      </w:pPr>
    </w:p>
    <w:p w:rsidR="00C06191" w:rsidRPr="00CA603D" w:rsidRDefault="00C06191" w:rsidP="00CA603D">
      <w:pPr>
        <w:spacing w:after="0" w:line="240" w:lineRule="auto"/>
        <w:jc w:val="both"/>
        <w:rPr>
          <w:rFonts w:ascii="Arial" w:hAnsi="Arial" w:cs="Arial"/>
        </w:rPr>
      </w:pPr>
      <w:r w:rsidRPr="00CA603D">
        <w:rPr>
          <w:rFonts w:ascii="Arial" w:hAnsi="Arial" w:cs="Arial"/>
        </w:rPr>
        <w:t>PLENO EN MATERIA CIVIL DEL PRIMER CIRCUITO.</w:t>
      </w:r>
    </w:p>
    <w:p w:rsidR="00C06191" w:rsidRPr="00CA603D" w:rsidRDefault="00C06191" w:rsidP="00CA603D">
      <w:pPr>
        <w:spacing w:after="0" w:line="240" w:lineRule="auto"/>
        <w:jc w:val="both"/>
        <w:rPr>
          <w:rFonts w:ascii="Arial" w:hAnsi="Arial" w:cs="Arial"/>
        </w:rPr>
      </w:pPr>
    </w:p>
    <w:p w:rsidR="00C06191" w:rsidRPr="00CA603D" w:rsidRDefault="00C06191" w:rsidP="00CA603D">
      <w:pPr>
        <w:spacing w:after="0" w:line="240" w:lineRule="auto"/>
        <w:jc w:val="both"/>
        <w:rPr>
          <w:rFonts w:ascii="Arial" w:hAnsi="Arial" w:cs="Arial"/>
        </w:rPr>
      </w:pPr>
      <w:r w:rsidRPr="00CA603D">
        <w:rPr>
          <w:rFonts w:ascii="Arial" w:hAnsi="Arial" w:cs="Arial"/>
        </w:rPr>
        <w:t xml:space="preserve">Contradicción de tesis 9/2019. Entre las sustentadas por los Tribunales Colegiados Décimo Cuarto y Décimo Quinto, ambos en Materia Civil del Primer Circuito. 5 de noviembre de 2019. Mayoría de trece votos de los Magistrados María del Carmen Aurora Arroyo Moreno, Jaime Aurelio </w:t>
      </w:r>
      <w:proofErr w:type="spellStart"/>
      <w:r w:rsidRPr="00CA603D">
        <w:rPr>
          <w:rFonts w:ascii="Arial" w:hAnsi="Arial" w:cs="Arial"/>
        </w:rPr>
        <w:t>Serret</w:t>
      </w:r>
      <w:proofErr w:type="spellEnd"/>
      <w:r w:rsidRPr="00CA603D">
        <w:rPr>
          <w:rFonts w:ascii="Arial" w:hAnsi="Arial" w:cs="Arial"/>
        </w:rPr>
        <w:t xml:space="preserve"> Álvarez, </w:t>
      </w:r>
      <w:proofErr w:type="spellStart"/>
      <w:r w:rsidRPr="00CA603D">
        <w:rPr>
          <w:rFonts w:ascii="Arial" w:hAnsi="Arial" w:cs="Arial"/>
        </w:rPr>
        <w:t>Ethel</w:t>
      </w:r>
      <w:proofErr w:type="spellEnd"/>
      <w:r w:rsidRPr="00CA603D">
        <w:rPr>
          <w:rFonts w:ascii="Arial" w:hAnsi="Arial" w:cs="Arial"/>
        </w:rPr>
        <w:t xml:space="preserve"> </w:t>
      </w:r>
      <w:proofErr w:type="spellStart"/>
      <w:r w:rsidRPr="00CA603D">
        <w:rPr>
          <w:rFonts w:ascii="Arial" w:hAnsi="Arial" w:cs="Arial"/>
        </w:rPr>
        <w:t>Lizette</w:t>
      </w:r>
      <w:proofErr w:type="spellEnd"/>
      <w:r w:rsidRPr="00CA603D">
        <w:rPr>
          <w:rFonts w:ascii="Arial" w:hAnsi="Arial" w:cs="Arial"/>
        </w:rPr>
        <w:t xml:space="preserve"> del Carmen Rodríguez </w:t>
      </w:r>
      <w:proofErr w:type="spellStart"/>
      <w:r w:rsidRPr="00CA603D">
        <w:rPr>
          <w:rFonts w:ascii="Arial" w:hAnsi="Arial" w:cs="Arial"/>
        </w:rPr>
        <w:t>Arcovedo</w:t>
      </w:r>
      <w:proofErr w:type="spellEnd"/>
      <w:r w:rsidRPr="00CA603D">
        <w:rPr>
          <w:rFonts w:ascii="Arial" w:hAnsi="Arial" w:cs="Arial"/>
        </w:rPr>
        <w:t xml:space="preserve">, Eliseo Puga Cervantes, Fortunata Florentina Silva Vásquez, Roberto Ramírez Ruiz, María del Refugio González Tamayo, Marco Polo Rosas </w:t>
      </w:r>
      <w:proofErr w:type="spellStart"/>
      <w:r w:rsidRPr="00CA603D">
        <w:rPr>
          <w:rFonts w:ascii="Arial" w:hAnsi="Arial" w:cs="Arial"/>
        </w:rPr>
        <w:t>Baqueiro</w:t>
      </w:r>
      <w:proofErr w:type="spellEnd"/>
      <w:r w:rsidRPr="00CA603D">
        <w:rPr>
          <w:rFonts w:ascii="Arial" w:hAnsi="Arial" w:cs="Arial"/>
        </w:rPr>
        <w:t>, Martha Gabriela Sánchez Alonso, Fernando Rangel Ramírez, Gonzalo Arredondo Jiménez, Manuel Ernesto Saloma Vera y Alejandro Sánchez López. Ausente: Paula María García Villegas Sánchez Cordero. Disidente y Ponente: José Rigoberto Dueñas Calderón. Secretario: Mauricio Omar Sanabria Contreras.</w:t>
      </w:r>
    </w:p>
    <w:p w:rsidR="00C06191" w:rsidRPr="00CA603D" w:rsidRDefault="00C06191" w:rsidP="00CA603D">
      <w:pPr>
        <w:spacing w:after="0" w:line="240" w:lineRule="auto"/>
        <w:jc w:val="both"/>
        <w:rPr>
          <w:rFonts w:ascii="Arial" w:hAnsi="Arial" w:cs="Arial"/>
        </w:rPr>
      </w:pPr>
    </w:p>
    <w:p w:rsidR="00C06191" w:rsidRPr="00CA603D" w:rsidRDefault="00C06191" w:rsidP="00CA603D">
      <w:pPr>
        <w:spacing w:after="0" w:line="240" w:lineRule="auto"/>
        <w:jc w:val="both"/>
        <w:rPr>
          <w:rFonts w:ascii="Arial" w:hAnsi="Arial" w:cs="Arial"/>
        </w:rPr>
      </w:pPr>
      <w:r w:rsidRPr="00CA603D">
        <w:rPr>
          <w:rFonts w:ascii="Arial" w:hAnsi="Arial" w:cs="Arial"/>
        </w:rPr>
        <w:t>Criterios contendientes</w:t>
      </w:r>
    </w:p>
    <w:p w:rsidR="00C06191" w:rsidRPr="00CA603D" w:rsidRDefault="00C06191" w:rsidP="00CA603D">
      <w:pPr>
        <w:spacing w:after="0" w:line="240" w:lineRule="auto"/>
        <w:jc w:val="both"/>
        <w:rPr>
          <w:rFonts w:ascii="Arial" w:hAnsi="Arial" w:cs="Arial"/>
        </w:rPr>
      </w:pPr>
    </w:p>
    <w:p w:rsidR="00C06191" w:rsidRPr="00CA603D" w:rsidRDefault="00C06191" w:rsidP="00CA603D">
      <w:pPr>
        <w:spacing w:after="0" w:line="240" w:lineRule="auto"/>
        <w:jc w:val="both"/>
        <w:rPr>
          <w:rFonts w:ascii="Arial" w:hAnsi="Arial" w:cs="Arial"/>
        </w:rPr>
      </w:pPr>
      <w:r w:rsidRPr="00CA603D">
        <w:rPr>
          <w:rFonts w:ascii="Arial" w:hAnsi="Arial" w:cs="Arial"/>
        </w:rPr>
        <w:t>El sustentado por el Décimo Cuarto Tribunal Colegiado en Materia Civil del Primer Circuito, al resolver el juicio de amparo en revisión 336/2017, y el diverso sustentado por el Décimo Quinto Tribunal Colegiado en Materia Civil del Primer Circuito, al resolver el juicio de amparo en revisión 49/2019.</w:t>
      </w:r>
    </w:p>
    <w:p w:rsidR="00C06191" w:rsidRPr="00CA603D" w:rsidRDefault="00C06191" w:rsidP="00CA603D">
      <w:pPr>
        <w:spacing w:after="0" w:line="240" w:lineRule="auto"/>
        <w:jc w:val="both"/>
        <w:rPr>
          <w:rFonts w:ascii="Arial" w:hAnsi="Arial" w:cs="Arial"/>
        </w:rPr>
      </w:pPr>
    </w:p>
    <w:p w:rsidR="00087300" w:rsidRDefault="00087300" w:rsidP="00CA603D">
      <w:pPr>
        <w:spacing w:after="0" w:line="240" w:lineRule="auto"/>
        <w:jc w:val="both"/>
        <w:rPr>
          <w:rFonts w:ascii="Arial" w:hAnsi="Arial" w:cs="Arial"/>
        </w:rPr>
      </w:pPr>
    </w:p>
    <w:p w:rsidR="003E2B44" w:rsidRPr="003E2B44" w:rsidRDefault="00363846" w:rsidP="003E2B44">
      <w:pPr>
        <w:spacing w:after="0" w:line="240" w:lineRule="auto"/>
        <w:jc w:val="both"/>
        <w:rPr>
          <w:rFonts w:ascii="Arial" w:hAnsi="Arial" w:cs="Arial"/>
        </w:rPr>
      </w:pPr>
      <w:r>
        <w:rPr>
          <w:rFonts w:ascii="Arial" w:hAnsi="Arial" w:cs="Arial"/>
        </w:rPr>
        <w:t xml:space="preserve">2. </w:t>
      </w:r>
      <w:r w:rsidR="003E2B44" w:rsidRPr="003E2B44">
        <w:rPr>
          <w:rFonts w:ascii="Arial" w:hAnsi="Arial" w:cs="Arial"/>
        </w:rPr>
        <w:t xml:space="preserve">Época: Décima Época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Registro: 2021460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Instancia: Plenos de Circuito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Tipo de Tesis: Jurisprudencia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Fuente: Semanario Judicial de la Federación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Publicación: viernes 24 de enero de 2020 10:25 h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Materia(s): (Civil) </w:t>
      </w: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Tesis: </w:t>
      </w:r>
      <w:proofErr w:type="spellStart"/>
      <w:r w:rsidRPr="003E2B44">
        <w:rPr>
          <w:rFonts w:ascii="Arial" w:hAnsi="Arial" w:cs="Arial"/>
        </w:rPr>
        <w:t>PC.I.C</w:t>
      </w:r>
      <w:proofErr w:type="spellEnd"/>
      <w:r w:rsidRPr="003E2B44">
        <w:rPr>
          <w:rFonts w:ascii="Arial" w:hAnsi="Arial" w:cs="Arial"/>
        </w:rPr>
        <w:t xml:space="preserve">. J/98 C (10a.) </w:t>
      </w:r>
    </w:p>
    <w:p w:rsidR="003E2B44" w:rsidRPr="003E2B44" w:rsidRDefault="003E2B44" w:rsidP="003E2B44">
      <w:pPr>
        <w:spacing w:after="0" w:line="240" w:lineRule="auto"/>
        <w:jc w:val="both"/>
        <w:rPr>
          <w:rFonts w:ascii="Arial" w:hAnsi="Arial" w:cs="Arial"/>
        </w:rPr>
      </w:pPr>
    </w:p>
    <w:p w:rsidR="003E2B44" w:rsidRPr="00363846" w:rsidRDefault="003E2B44" w:rsidP="00363846">
      <w:pPr>
        <w:pStyle w:val="Ttulo2"/>
        <w:jc w:val="both"/>
        <w:rPr>
          <w:rFonts w:ascii="Arial" w:hAnsi="Arial" w:cs="Arial"/>
          <w:sz w:val="26"/>
          <w:szCs w:val="26"/>
        </w:rPr>
      </w:pPr>
      <w:bookmarkStart w:id="3" w:name="_Toc30765500"/>
      <w:r w:rsidRPr="00363846">
        <w:rPr>
          <w:rFonts w:ascii="Arial" w:hAnsi="Arial" w:cs="Arial"/>
          <w:color w:val="B35E06" w:themeColor="accent1" w:themeShade="BF"/>
          <w:sz w:val="26"/>
          <w:szCs w:val="26"/>
        </w:rPr>
        <w:t>CESIÓN DE CRÉDITOS CON GARANTÍA HIPOTECARIA. LA NOTIFICACIÓN AL DEUDOR COMO REQUISITO PREVIO PARA LA PROCEDENCIA DE LA ACCIÓN HIPOTECARIA, NO PUEDE REALIZARLA UN CORREDOR PÚBLICO, AL CARECER DE FACULTADES PARA EFECTUARLA.</w:t>
      </w:r>
      <w:bookmarkEnd w:id="3"/>
    </w:p>
    <w:p w:rsidR="003E2B44" w:rsidRPr="003E2B44" w:rsidRDefault="003E2B44" w:rsidP="003E2B44">
      <w:pPr>
        <w:spacing w:after="0" w:line="240" w:lineRule="auto"/>
        <w:jc w:val="both"/>
        <w:rPr>
          <w:rFonts w:ascii="Arial" w:hAnsi="Arial" w:cs="Arial"/>
        </w:rPr>
      </w:pP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En términos de los artículos 6o., fracción V, de la Ley Federal de Correduría Pública y 53 de su Reglamento, los corredores públicos están facultados para autenticar y dar forma en términos de ley a los instrumentos en que se consignen actos y hechos jurídicos de carácter mercantil; por otra parte, tratándose de créditos mercantiles garantizados con hipoteca, el acreedor podrá intentar el juicio hipotecario, sin que constituya obstáculo para ello el hecho de que conforme a lo previsto en las fracciones XIV y XXI del artículo 75 del Código de Comercio, el documento </w:t>
      </w:r>
      <w:proofErr w:type="spellStart"/>
      <w:r w:rsidRPr="003E2B44">
        <w:rPr>
          <w:rFonts w:ascii="Arial" w:hAnsi="Arial" w:cs="Arial"/>
        </w:rPr>
        <w:t>fundatorio</w:t>
      </w:r>
      <w:proofErr w:type="spellEnd"/>
      <w:r w:rsidRPr="003E2B44">
        <w:rPr>
          <w:rFonts w:ascii="Arial" w:hAnsi="Arial" w:cs="Arial"/>
        </w:rPr>
        <w:t xml:space="preserve"> de la acción sea un acto mercantil, toda vez que acorde con el artículo 1054 del código citado, los juicios mercantiles se deben regir por las disposiciones del libro quinto y en su defecto se aplicará la ley de procedimientos local, y dado que dicho libro, denominado "De los juicios mercantiles", no prevé un procedimiento especial para hacer efectiva una garantía constituida por hipoteca, si las partes no se sometieron a un compromiso arbitral ni tampoco al convencional que permiten y regulan los artículos 1051 y 1053 del Código de Comercio, se infiere que deben regirse por el Código Civil y por el Código de Procedimientos Civiles local, que sí establecen reglas para que se dé la ejecución de la garantía real. Por tanto, si el artículo 2926 del Código Civil para el Distrito Federal, aplicable para la Ciudad de México, prevé de manera directa la cesión de créditos con garantía hipotecaria celebrados por instituciones de crédito, y establece como requisito para la procedencia de la acción hipotecaria ejercida por éstas, la previa notificación de la cesión al deudor por escrito, y el diverso artículo </w:t>
      </w:r>
      <w:r w:rsidRPr="003E2B44">
        <w:rPr>
          <w:rFonts w:ascii="Arial" w:hAnsi="Arial" w:cs="Arial"/>
        </w:rPr>
        <w:lastRenderedPageBreak/>
        <w:t>2036 de este ordenamiento dispone que la notificación de la cesión del crédito debe realizarse por escrito, de manera judicial o extrajudicial, ante dos testigos o ante notario público, se concluye que es el notario público y no el corredor público, quien se encuentra legalmente facultado para llevar a cabo la notificación de la cesión de créditos al deudor, dado que no es la naturaleza jurídica del contrato cuyo cumplimiento fue garantizado con la hipoteca lo que determina la forma en que debe ejercerse la acción hipotecaria y tramitarse el juicio correspondiente, sino el hecho de que la hipoteca es una figura jurídica contemplada y regida por la legislación civil.</w:t>
      </w:r>
    </w:p>
    <w:p w:rsidR="003E2B44" w:rsidRPr="003E2B44" w:rsidRDefault="003E2B44" w:rsidP="003E2B44">
      <w:pPr>
        <w:spacing w:after="0" w:line="240" w:lineRule="auto"/>
        <w:jc w:val="both"/>
        <w:rPr>
          <w:rFonts w:ascii="Arial" w:hAnsi="Arial" w:cs="Arial"/>
        </w:rPr>
      </w:pPr>
    </w:p>
    <w:p w:rsidR="003E2B44" w:rsidRPr="003E2B44" w:rsidRDefault="003E2B44" w:rsidP="003E2B44">
      <w:pPr>
        <w:spacing w:after="0" w:line="240" w:lineRule="auto"/>
        <w:jc w:val="both"/>
        <w:rPr>
          <w:rFonts w:ascii="Arial" w:hAnsi="Arial" w:cs="Arial"/>
        </w:rPr>
      </w:pPr>
      <w:r w:rsidRPr="003E2B44">
        <w:rPr>
          <w:rFonts w:ascii="Arial" w:hAnsi="Arial" w:cs="Arial"/>
        </w:rPr>
        <w:t>PLENO EN MATERIA CIVIL DEL PRIMER CIRCUITO.</w:t>
      </w:r>
    </w:p>
    <w:p w:rsidR="003E2B44" w:rsidRPr="003E2B44" w:rsidRDefault="003E2B44" w:rsidP="003E2B44">
      <w:pPr>
        <w:spacing w:after="0" w:line="240" w:lineRule="auto"/>
        <w:jc w:val="both"/>
        <w:rPr>
          <w:rFonts w:ascii="Arial" w:hAnsi="Arial" w:cs="Arial"/>
        </w:rPr>
      </w:pPr>
    </w:p>
    <w:p w:rsidR="003E2B44" w:rsidRPr="003E2B44" w:rsidRDefault="003E2B44" w:rsidP="003E2B44">
      <w:pPr>
        <w:spacing w:after="0" w:line="240" w:lineRule="auto"/>
        <w:jc w:val="both"/>
        <w:rPr>
          <w:rFonts w:ascii="Arial" w:hAnsi="Arial" w:cs="Arial"/>
        </w:rPr>
      </w:pPr>
      <w:r w:rsidRPr="003E2B44">
        <w:rPr>
          <w:rFonts w:ascii="Arial" w:hAnsi="Arial" w:cs="Arial"/>
        </w:rPr>
        <w:t xml:space="preserve">Contradicción de tesis 18/2019. Entre las sustentadas por los Tribunales Colegiados Segundo, Tercero y Quinto, todos en Materia Civil del Primer Circuito. 5 de noviembre de 2019. Mayoría de diez votos de los Magistrados María del Carmen Aurora Arroyo Moreno, Paula María García Villegas Sánchez Cordero, Eliseo Puga Cervantes, Fortunata Florentina Silva Vásquez, Roberto Ramírez Ruiz, María del Refugio González Tamayo, Martha Gabriela Sánchez Alonso, Fernando Rangel Ramírez, Manuel Ernesto Saloma Vera y Alejandro Sánchez López. Disidentes: Jaime Aurelio </w:t>
      </w:r>
      <w:proofErr w:type="spellStart"/>
      <w:r w:rsidRPr="003E2B44">
        <w:rPr>
          <w:rFonts w:ascii="Arial" w:hAnsi="Arial" w:cs="Arial"/>
        </w:rPr>
        <w:t>Serret</w:t>
      </w:r>
      <w:proofErr w:type="spellEnd"/>
      <w:r w:rsidRPr="003E2B44">
        <w:rPr>
          <w:rFonts w:ascii="Arial" w:hAnsi="Arial" w:cs="Arial"/>
        </w:rPr>
        <w:t xml:space="preserve"> Álvarez, </w:t>
      </w:r>
      <w:proofErr w:type="spellStart"/>
      <w:r w:rsidRPr="003E2B44">
        <w:rPr>
          <w:rFonts w:ascii="Arial" w:hAnsi="Arial" w:cs="Arial"/>
        </w:rPr>
        <w:t>Ethel</w:t>
      </w:r>
      <w:proofErr w:type="spellEnd"/>
      <w:r w:rsidRPr="003E2B44">
        <w:rPr>
          <w:rFonts w:ascii="Arial" w:hAnsi="Arial" w:cs="Arial"/>
        </w:rPr>
        <w:t xml:space="preserve"> </w:t>
      </w:r>
      <w:proofErr w:type="spellStart"/>
      <w:r w:rsidRPr="003E2B44">
        <w:rPr>
          <w:rFonts w:ascii="Arial" w:hAnsi="Arial" w:cs="Arial"/>
        </w:rPr>
        <w:t>Lizette</w:t>
      </w:r>
      <w:proofErr w:type="spellEnd"/>
      <w:r w:rsidRPr="003E2B44">
        <w:rPr>
          <w:rFonts w:ascii="Arial" w:hAnsi="Arial" w:cs="Arial"/>
        </w:rPr>
        <w:t xml:space="preserve"> del Carmen Rodríguez </w:t>
      </w:r>
      <w:proofErr w:type="spellStart"/>
      <w:r w:rsidRPr="003E2B44">
        <w:rPr>
          <w:rFonts w:ascii="Arial" w:hAnsi="Arial" w:cs="Arial"/>
        </w:rPr>
        <w:t>Arcovedo</w:t>
      </w:r>
      <w:proofErr w:type="spellEnd"/>
      <w:r w:rsidRPr="003E2B44">
        <w:rPr>
          <w:rFonts w:ascii="Arial" w:hAnsi="Arial" w:cs="Arial"/>
        </w:rPr>
        <w:t xml:space="preserve">, Marco Polo Rosas </w:t>
      </w:r>
      <w:proofErr w:type="spellStart"/>
      <w:r w:rsidRPr="003E2B44">
        <w:rPr>
          <w:rFonts w:ascii="Arial" w:hAnsi="Arial" w:cs="Arial"/>
        </w:rPr>
        <w:t>Baqueiro</w:t>
      </w:r>
      <w:proofErr w:type="spellEnd"/>
      <w:r w:rsidRPr="003E2B44">
        <w:rPr>
          <w:rFonts w:ascii="Arial" w:hAnsi="Arial" w:cs="Arial"/>
        </w:rPr>
        <w:t>, Gonzalo Arredondo Jiménez y José Rigoberto Dueñas Calderón. Ponente: Martha Gabriela Sánchez Alonso. Secretaria: Alicia Avendaño Santos.</w:t>
      </w:r>
    </w:p>
    <w:p w:rsidR="003E2B44" w:rsidRPr="003E2B44" w:rsidRDefault="003E2B44" w:rsidP="003E2B44">
      <w:pPr>
        <w:spacing w:after="0" w:line="240" w:lineRule="auto"/>
        <w:jc w:val="both"/>
        <w:rPr>
          <w:rFonts w:ascii="Arial" w:hAnsi="Arial" w:cs="Arial"/>
        </w:rPr>
      </w:pPr>
    </w:p>
    <w:p w:rsidR="003E2B44" w:rsidRPr="003E2B44" w:rsidRDefault="003E2B44" w:rsidP="003E2B44">
      <w:pPr>
        <w:spacing w:after="0" w:line="240" w:lineRule="auto"/>
        <w:jc w:val="both"/>
        <w:rPr>
          <w:rFonts w:ascii="Arial" w:hAnsi="Arial" w:cs="Arial"/>
        </w:rPr>
      </w:pPr>
      <w:r w:rsidRPr="003E2B44">
        <w:rPr>
          <w:rFonts w:ascii="Arial" w:hAnsi="Arial" w:cs="Arial"/>
        </w:rPr>
        <w:t>Criterios contendientes:</w:t>
      </w:r>
    </w:p>
    <w:p w:rsidR="003E2B44" w:rsidRPr="003E2B44" w:rsidRDefault="003E2B44" w:rsidP="003E2B44">
      <w:pPr>
        <w:spacing w:after="0" w:line="240" w:lineRule="auto"/>
        <w:jc w:val="both"/>
        <w:rPr>
          <w:rFonts w:ascii="Arial" w:hAnsi="Arial" w:cs="Arial"/>
        </w:rPr>
      </w:pPr>
    </w:p>
    <w:p w:rsidR="003E2B44" w:rsidRPr="003E2B44" w:rsidRDefault="003E2B44" w:rsidP="003E2B44">
      <w:pPr>
        <w:spacing w:after="0" w:line="240" w:lineRule="auto"/>
        <w:jc w:val="both"/>
        <w:rPr>
          <w:rFonts w:ascii="Arial" w:hAnsi="Arial" w:cs="Arial"/>
        </w:rPr>
      </w:pPr>
      <w:r w:rsidRPr="003E2B44">
        <w:rPr>
          <w:rFonts w:ascii="Arial" w:hAnsi="Arial" w:cs="Arial"/>
        </w:rPr>
        <w:t>El sustentado por el Segundo Tribunal Colegiado en Materia Civil del Primer Circuito, al resolver el amparo directo 760/2018, el sustentado por el Tercer Tribunal Colegiado en Materia Civil del Primer Circuito, al resolver el amparo directo 542/2017, y el diverso sustentado por el Quinto Tribunal Colegiado en Materia Civil del Primer Circuito, al resolver el amparo directo 913/2018.</w:t>
      </w:r>
    </w:p>
    <w:p w:rsidR="00903661" w:rsidRPr="00811016" w:rsidRDefault="00903661" w:rsidP="00363846">
      <w:pPr>
        <w:pStyle w:val="Ttulo1"/>
        <w:numPr>
          <w:ilvl w:val="0"/>
          <w:numId w:val="11"/>
        </w:numPr>
        <w:spacing w:line="360" w:lineRule="auto"/>
        <w:jc w:val="center"/>
        <w:rPr>
          <w:rFonts w:ascii="Arial" w:hAnsi="Arial" w:cs="Arial"/>
          <w:color w:val="B35E06" w:themeColor="accent1" w:themeShade="BF"/>
          <w:sz w:val="36"/>
          <w:szCs w:val="36"/>
        </w:rPr>
      </w:pPr>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1316773"/>
      <w:bookmarkStart w:id="16" w:name="_Toc11664964"/>
      <w:bookmarkStart w:id="17" w:name="_Toc11756642"/>
      <w:bookmarkStart w:id="18" w:name="_Toc16862694"/>
      <w:bookmarkStart w:id="19" w:name="_Toc17202734"/>
      <w:bookmarkStart w:id="20" w:name="_Toc30765501"/>
      <w:r w:rsidRPr="00811016">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03661" w:rsidRPr="00591067" w:rsidRDefault="00903661" w:rsidP="00903661">
      <w:pPr>
        <w:numPr>
          <w:ilvl w:val="0"/>
          <w:numId w:val="6"/>
        </w:numPr>
        <w:spacing w:after="0" w:line="360" w:lineRule="auto"/>
        <w:jc w:val="center"/>
        <w:rPr>
          <w:rFonts w:ascii="Arial" w:hAnsi="Arial" w:cs="Arial"/>
          <w:b/>
          <w:bCs/>
          <w:vanish/>
          <w:color w:val="B35E06" w:themeColor="accent1" w:themeShade="BF"/>
          <w:szCs w:val="24"/>
          <w:lang w:val="es-MX"/>
        </w:rPr>
      </w:pPr>
      <w:bookmarkStart w:id="21" w:name="_Toc536437384"/>
      <w:bookmarkStart w:id="22" w:name="_Toc536437577"/>
      <w:bookmarkStart w:id="23" w:name="_Toc536439344"/>
      <w:bookmarkStart w:id="24" w:name="_Toc536439427"/>
      <w:bookmarkStart w:id="25" w:name="_Toc536439467"/>
      <w:bookmarkStart w:id="26" w:name="_Toc338653"/>
      <w:bookmarkStart w:id="27" w:name="_Toc778876"/>
      <w:bookmarkStart w:id="28" w:name="_Toc779017"/>
      <w:bookmarkStart w:id="29" w:name="_Toc1379639"/>
      <w:bookmarkStart w:id="30" w:name="_Toc1380862"/>
      <w:bookmarkStart w:id="31" w:name="_Toc2071031"/>
      <w:bookmarkStart w:id="32" w:name="_Toc5180102"/>
      <w:bookmarkStart w:id="33" w:name="_Toc5180180"/>
      <w:bookmarkStart w:id="34" w:name="_Toc5262815"/>
      <w:bookmarkStart w:id="35" w:name="_Toc5263076"/>
      <w:bookmarkStart w:id="36" w:name="_Toc5263203"/>
      <w:bookmarkStart w:id="37" w:name="_Toc5263841"/>
      <w:bookmarkStart w:id="38" w:name="_Toc5263889"/>
      <w:bookmarkStart w:id="39" w:name="_Toc5263941"/>
      <w:bookmarkStart w:id="40" w:name="_Toc5273346"/>
      <w:bookmarkStart w:id="41" w:name="_Toc5277921"/>
      <w:bookmarkStart w:id="42" w:name="_Toc5371729"/>
      <w:bookmarkStart w:id="43" w:name="_Toc5371744"/>
      <w:bookmarkStart w:id="44" w:name="_Toc536439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03661" w:rsidRPr="00591067" w:rsidRDefault="00903661" w:rsidP="00903661">
      <w:pPr>
        <w:numPr>
          <w:ilvl w:val="0"/>
          <w:numId w:val="6"/>
        </w:numPr>
        <w:spacing w:after="0" w:line="360" w:lineRule="auto"/>
        <w:jc w:val="center"/>
        <w:rPr>
          <w:rFonts w:ascii="Arial" w:hAnsi="Arial" w:cs="Arial"/>
          <w:b/>
          <w:bCs/>
          <w:vanish/>
          <w:color w:val="B35E06" w:themeColor="accent1" w:themeShade="BF"/>
          <w:szCs w:val="24"/>
          <w:lang w:val="es-MX"/>
        </w:rPr>
      </w:pPr>
      <w:bookmarkStart w:id="45" w:name="_Toc338654"/>
      <w:bookmarkStart w:id="46" w:name="_Toc778877"/>
      <w:bookmarkStart w:id="47" w:name="_Toc779018"/>
      <w:bookmarkStart w:id="48" w:name="_Toc1379640"/>
      <w:bookmarkStart w:id="49" w:name="_Toc1380863"/>
      <w:bookmarkStart w:id="50" w:name="_Toc2071032"/>
      <w:bookmarkStart w:id="51" w:name="_Toc5180103"/>
      <w:bookmarkStart w:id="52" w:name="_Toc5180181"/>
      <w:bookmarkStart w:id="53" w:name="_Toc5262816"/>
      <w:bookmarkStart w:id="54" w:name="_Toc5263077"/>
      <w:bookmarkStart w:id="55" w:name="_Toc5263204"/>
      <w:bookmarkStart w:id="56" w:name="_Toc5263842"/>
      <w:bookmarkStart w:id="57" w:name="_Toc5263890"/>
      <w:bookmarkStart w:id="58" w:name="_Toc5263942"/>
      <w:bookmarkStart w:id="59" w:name="_Toc5273347"/>
      <w:bookmarkStart w:id="60" w:name="_Toc5277922"/>
      <w:bookmarkStart w:id="61" w:name="_Toc5371730"/>
      <w:bookmarkStart w:id="62" w:name="_Toc53717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03661" w:rsidRPr="00591067" w:rsidRDefault="00903661" w:rsidP="00363846">
      <w:pPr>
        <w:pStyle w:val="Ttulo2"/>
        <w:spacing w:line="360" w:lineRule="auto"/>
        <w:jc w:val="center"/>
        <w:rPr>
          <w:rFonts w:ascii="Arial" w:hAnsi="Arial" w:cs="Arial"/>
          <w:vanish/>
          <w:color w:val="B35E06" w:themeColor="accent1" w:themeShade="BF"/>
        </w:rPr>
      </w:pPr>
      <w:bookmarkStart w:id="63" w:name="_Toc5371746"/>
      <w:bookmarkStart w:id="64" w:name="_Toc5263205"/>
      <w:bookmarkStart w:id="65" w:name="_Toc5180182"/>
      <w:bookmarkStart w:id="66" w:name="_Toc1380864"/>
      <w:bookmarkStart w:id="67" w:name="_Toc779019"/>
      <w:bookmarkStart w:id="68" w:name="_Toc338655"/>
      <w:bookmarkStart w:id="69" w:name="_Toc1379641"/>
      <w:bookmarkStart w:id="70" w:name="_Toc2071033"/>
      <w:bookmarkStart w:id="71" w:name="_Toc11316583"/>
      <w:bookmarkStart w:id="72" w:name="_Toc11316774"/>
      <w:bookmarkStart w:id="73" w:name="_Toc11664965"/>
      <w:bookmarkStart w:id="74" w:name="_Toc11756643"/>
      <w:bookmarkStart w:id="75" w:name="_Toc16862695"/>
      <w:bookmarkStart w:id="76" w:name="_Toc17202735"/>
      <w:bookmarkStart w:id="77" w:name="_Toc30765502"/>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8" w:name="_Toc524446387"/>
      <w:bookmarkStart w:id="79" w:name="_Toc524519068"/>
      <w:bookmarkStart w:id="80" w:name="_Toc524519163"/>
      <w:bookmarkStart w:id="81" w:name="_Toc524446390"/>
      <w:bookmarkStart w:id="82" w:name="_Toc524519071"/>
      <w:bookmarkStart w:id="83" w:name="_Toc524519166"/>
      <w:bookmarkEnd w:id="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03661" w:rsidRPr="00591067" w:rsidRDefault="00903661" w:rsidP="00903661">
      <w:pPr>
        <w:spacing w:after="0" w:line="360" w:lineRule="auto"/>
        <w:jc w:val="center"/>
        <w:rPr>
          <w:rFonts w:ascii="Arial" w:hAnsi="Arial" w:cs="Arial"/>
          <w:color w:val="B35E06" w:themeColor="accent1" w:themeShade="BF"/>
          <w:szCs w:val="24"/>
        </w:rPr>
      </w:pPr>
      <w:bookmarkStart w:id="84" w:name="_Toc524947297"/>
      <w:bookmarkStart w:id="85" w:name="_Toc525683586"/>
      <w:bookmarkStart w:id="86" w:name="_Toc525686134"/>
      <w:bookmarkStart w:id="87" w:name="_Toc525808260"/>
      <w:bookmarkStart w:id="88" w:name="_Toc525808291"/>
      <w:bookmarkStart w:id="89" w:name="_Toc525808454"/>
      <w:bookmarkStart w:id="90" w:name="_Toc524947298"/>
      <w:bookmarkStart w:id="91" w:name="_Toc525683587"/>
      <w:bookmarkStart w:id="92" w:name="_Toc525686135"/>
      <w:bookmarkStart w:id="93" w:name="_Toc525808261"/>
      <w:bookmarkStart w:id="94" w:name="_Toc525808292"/>
      <w:bookmarkStart w:id="95" w:name="_Toc525808455"/>
      <w:bookmarkStart w:id="96" w:name="_Toc524947299"/>
      <w:bookmarkStart w:id="97" w:name="_Toc525683588"/>
      <w:bookmarkStart w:id="98" w:name="_Toc525686136"/>
      <w:bookmarkStart w:id="99" w:name="_Toc525808262"/>
      <w:bookmarkStart w:id="100" w:name="_Toc525808293"/>
      <w:bookmarkStart w:id="101" w:name="_Toc525808456"/>
      <w:bookmarkStart w:id="102" w:name="_Toc524947300"/>
      <w:bookmarkStart w:id="103" w:name="_Toc525683589"/>
      <w:bookmarkStart w:id="104" w:name="_Toc525808294"/>
      <w:bookmarkStart w:id="105" w:name="_Toc525808457"/>
      <w:bookmarkStart w:id="106" w:name="_Toc53050378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03661" w:rsidRPr="00094A5D" w:rsidRDefault="00903661" w:rsidP="00363846">
      <w:pPr>
        <w:pStyle w:val="Ttulo3"/>
        <w:jc w:val="center"/>
        <w:rPr>
          <w:rFonts w:ascii="Arial" w:hAnsi="Arial" w:cs="Arial"/>
          <w:b w:val="0"/>
          <w:color w:val="B35E06" w:themeColor="accent1" w:themeShade="BF"/>
        </w:rPr>
      </w:pPr>
      <w:bookmarkStart w:id="107" w:name="_Toc5371747"/>
      <w:bookmarkStart w:id="108" w:name="_Toc5263206"/>
      <w:bookmarkStart w:id="109" w:name="_Toc5180183"/>
      <w:bookmarkStart w:id="110" w:name="_Toc1380865"/>
      <w:bookmarkStart w:id="111" w:name="_Toc779020"/>
      <w:bookmarkStart w:id="112" w:name="_Toc536439469"/>
      <w:bookmarkStart w:id="113" w:name="_Toc338656"/>
      <w:bookmarkStart w:id="114" w:name="_Toc1379642"/>
      <w:bookmarkStart w:id="115" w:name="_Toc2071034"/>
      <w:bookmarkStart w:id="116" w:name="_Toc11316584"/>
      <w:bookmarkStart w:id="117" w:name="_Toc11316775"/>
      <w:bookmarkStart w:id="118" w:name="_Toc11664966"/>
      <w:bookmarkStart w:id="119" w:name="_Toc11756644"/>
      <w:bookmarkStart w:id="120" w:name="_Toc16862696"/>
      <w:bookmarkStart w:id="121" w:name="_Toc17202736"/>
      <w:bookmarkStart w:id="122" w:name="_Toc30765503"/>
      <w:r w:rsidRPr="00094A5D">
        <w:rPr>
          <w:rFonts w:ascii="Arial" w:hAnsi="Arial" w:cs="Arial"/>
          <w:b w:val="0"/>
          <w:color w:val="B35E06" w:themeColor="accent1" w:themeShade="BF"/>
        </w:rPr>
        <w:t>SEMANARIO JUDICIAL DE LA FEDERACIÓN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03661" w:rsidRPr="00094A5D" w:rsidRDefault="00903661" w:rsidP="00903661"/>
    <w:p w:rsidR="00903661" w:rsidRPr="00A91C82" w:rsidRDefault="00903661" w:rsidP="00903661">
      <w:pPr>
        <w:spacing w:after="0" w:line="240" w:lineRule="auto"/>
        <w:jc w:val="center"/>
        <w:rPr>
          <w:rFonts w:ascii="Arial" w:hAnsi="Arial" w:cs="Arial"/>
          <w:szCs w:val="24"/>
        </w:rPr>
      </w:pPr>
      <w:bookmarkStart w:id="123" w:name="_Toc525808458"/>
      <w:bookmarkStart w:id="124" w:name="_Toc525808295"/>
      <w:bookmarkStart w:id="125" w:name="_Toc525683590"/>
      <w:bookmarkStart w:id="126" w:name="_Toc524947301"/>
      <w:bookmarkStart w:id="127" w:name="_Toc530503785"/>
      <w:bookmarkEnd w:id="102"/>
      <w:bookmarkEnd w:id="103"/>
      <w:bookmarkEnd w:id="104"/>
      <w:bookmarkEnd w:id="105"/>
      <w:bookmarkEnd w:id="106"/>
      <w:r w:rsidRPr="00A91C82">
        <w:rPr>
          <w:rFonts w:ascii="Arial" w:hAnsi="Arial" w:cs="Arial"/>
          <w:bCs/>
          <w:szCs w:val="24"/>
        </w:rPr>
        <w:lastRenderedPageBreak/>
        <w:t>(https://sjf.scjn.gob.mx/SJFSem/Paginas/SemanarioV5.aspx</w:t>
      </w:r>
      <w:bookmarkEnd w:id="123"/>
      <w:bookmarkEnd w:id="124"/>
      <w:bookmarkEnd w:id="125"/>
      <w:bookmarkEnd w:id="126"/>
      <w:r w:rsidRPr="00A91C82">
        <w:rPr>
          <w:rFonts w:ascii="Arial" w:hAnsi="Arial" w:cs="Arial"/>
          <w:bCs/>
          <w:szCs w:val="24"/>
        </w:rPr>
        <w:t>)</w:t>
      </w:r>
      <w:bookmarkEnd w:id="127"/>
    </w:p>
    <w:p w:rsidR="00903661" w:rsidRPr="005B2A34" w:rsidRDefault="00903661" w:rsidP="00903661">
      <w:pPr>
        <w:spacing w:after="0" w:line="240" w:lineRule="auto"/>
        <w:jc w:val="both"/>
        <w:rPr>
          <w:rFonts w:ascii="Arial" w:hAnsi="Arial" w:cs="Arial"/>
          <w:szCs w:val="24"/>
        </w:rPr>
      </w:pPr>
    </w:p>
    <w:p w:rsidR="003E2B44" w:rsidRPr="003E2B44" w:rsidRDefault="003E2B44" w:rsidP="003E2B44">
      <w:pPr>
        <w:spacing w:after="0" w:line="240" w:lineRule="auto"/>
        <w:jc w:val="both"/>
        <w:rPr>
          <w:rFonts w:ascii="Arial" w:hAnsi="Arial" w:cs="Arial"/>
        </w:rPr>
      </w:pPr>
    </w:p>
    <w:p w:rsidR="003E2B44" w:rsidRPr="00CA603D" w:rsidRDefault="003E2B44" w:rsidP="00CA603D">
      <w:pPr>
        <w:spacing w:after="0" w:line="240" w:lineRule="auto"/>
        <w:jc w:val="both"/>
        <w:rPr>
          <w:rFonts w:ascii="Arial" w:hAnsi="Arial" w:cs="Arial"/>
        </w:rPr>
      </w:pPr>
    </w:p>
    <w:sectPr w:rsidR="003E2B44" w:rsidRPr="00CA603D"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E0" w:rsidRDefault="00404AE0">
      <w:pPr>
        <w:spacing w:after="0" w:line="240" w:lineRule="auto"/>
      </w:pPr>
      <w:r>
        <w:separator/>
      </w:r>
    </w:p>
  </w:endnote>
  <w:endnote w:type="continuationSeparator" w:id="0">
    <w:p w:rsidR="00404AE0" w:rsidRDefault="0040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E0" w:rsidRDefault="00404AE0">
      <w:pPr>
        <w:spacing w:after="0" w:line="240" w:lineRule="auto"/>
      </w:pPr>
      <w:r>
        <w:separator/>
      </w:r>
    </w:p>
  </w:footnote>
  <w:footnote w:type="continuationSeparator" w:id="0">
    <w:p w:rsidR="00404AE0" w:rsidRDefault="0040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4704CBF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63846"/>
    <w:rsid w:val="00386915"/>
    <w:rsid w:val="003949BD"/>
    <w:rsid w:val="003B321C"/>
    <w:rsid w:val="003E2B44"/>
    <w:rsid w:val="003F21F5"/>
    <w:rsid w:val="003F3ACB"/>
    <w:rsid w:val="00404AE0"/>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03661"/>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06191"/>
    <w:rsid w:val="00C3444C"/>
    <w:rsid w:val="00C54B3A"/>
    <w:rsid w:val="00C56AD6"/>
    <w:rsid w:val="00C73DCF"/>
    <w:rsid w:val="00C764D7"/>
    <w:rsid w:val="00CA603D"/>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44C83-E7B4-4908-B597-ABDE5593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1513</Words>
  <Characters>8326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2020-01-24T17:00:00Z</dcterms:created>
  <dcterms:modified xsi:type="dcterms:W3CDTF">2020-01-24T19:38:00Z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